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783"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567"/>
        <w:gridCol w:w="4810"/>
        <w:gridCol w:w="5246"/>
        <w:gridCol w:w="159"/>
      </w:tblGrid>
      <w:tr>
        <w:trPr>
          <w:trHeight w:val="450" w:hRule="atLeast"/>
        </w:trPr>
        <w:tc>
          <w:tcPr>
            <w:tcW w:w="10623"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159" w:type="dxa"/>
            <w:tcBorders/>
          </w:tcPr>
          <w:p>
            <w:pPr>
              <w:pStyle w:val="Normal"/>
              <w:widowControl w:val="false"/>
              <w:spacing w:before="0" w:after="160"/>
              <w:rPr/>
            </w:pPr>
            <w:r>
              <w:rPr/>
            </w:r>
          </w:p>
        </w:tc>
      </w:tr>
      <w:tr>
        <w:trPr>
          <w:trHeight w:val="450"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159"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623"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159"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81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246"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246"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567"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246"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Halušková</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Eva</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doc. PhDr. Mgr. PhD.</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https://www.portalvs.sk/regzam/?do=filterForm-submit&amp;name=Eva&amp;surname=Halu%C5%A1kov%C3%A1&amp;university=724000000&amp;sort=surname&amp;employment_state=yes&amp;filter</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Sociálna práca I., II. a III.  </w:t>
            </w:r>
            <w:r>
              <w:rPr>
                <w:rFonts w:eastAsia="Times New Roman" w:cs="Calibri"/>
                <w:i/>
                <w:iCs/>
                <w:color w:val="000000"/>
                <w:sz w:val="16"/>
                <w:szCs w:val="16"/>
                <w:lang w:eastAsia="sk-SK"/>
              </w:rPr>
              <w:t xml:space="preserve">. </w:t>
            </w:r>
            <w:r>
              <w:rPr>
                <w:rFonts w:eastAsia="Times New Roman" w:cs="Calibri"/>
                <w:color w:val="000000"/>
                <w:sz w:val="16"/>
                <w:szCs w:val="16"/>
                <w:lang w:eastAsia="sk-SK"/>
              </w:rPr>
              <w:t>stupeň/ Social Work  I . II.and III. degree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246" w:type="dxa"/>
            <w:tcBorders>
              <w:bottom w:val="single" w:sz="8" w:space="0" w:color="000000"/>
              <w:right w:val="single" w:sz="8" w:space="0" w:color="000000"/>
            </w:tcBorders>
            <w:shd w:color="auto" w:fill="auto" w:val="clear"/>
          </w:tcPr>
          <w:p>
            <w:pPr>
              <w:pStyle w:val="Normlny1"/>
              <w:widowControl w:val="false"/>
              <w:rPr>
                <w:rFonts w:ascii="Calibri" w:hAnsi="Calibri" w:eastAsia="Times New Roman" w:cs="Calibri"/>
                <w:color w:val="000000"/>
                <w:sz w:val="16"/>
                <w:szCs w:val="16"/>
              </w:rPr>
            </w:pPr>
            <w:r>
              <w:rPr>
                <w:rFonts w:eastAsia="Times New Roman" w:cs="Calibri" w:ascii="Calibri" w:hAnsi="Calibri"/>
                <w:color w:val="000000"/>
                <w:sz w:val="16"/>
                <w:szCs w:val="16"/>
              </w:rPr>
              <w:t xml:space="preserve">Vedecký výstup /Scientific output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377"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t>2021</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val="en-US" w:eastAsia="sk-SK"/>
              </w:rPr>
              <w:t>ID: 133675</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25" w:hRule="atLeast"/>
        </w:trPr>
        <w:tc>
          <w:tcPr>
            <w:tcW w:w="5377"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sz w:val="16"/>
                <w:szCs w:val="16"/>
              </w:rPr>
            </w:pPr>
            <w:hyperlink r:id="rId2">
              <w:r>
                <w:rPr>
                  <w:rStyle w:val="Internetovodkaz"/>
                  <w:sz w:val="16"/>
                  <w:szCs w:val="16"/>
                </w:rPr>
                <w:t>https://www.martinus.sk/758751-chudoba-spolocenske-suvislosti-a-socialne-politiky-na-jej/kniha</w:t>
              </w:r>
            </w:hyperlink>
          </w:p>
          <w:p>
            <w:pPr>
              <w:pStyle w:val="Normal"/>
              <w:widowControl w:val="false"/>
              <w:spacing w:lineRule="auto" w:line="240" w:before="0" w:after="0"/>
              <w:rPr>
                <w:sz w:val="16"/>
                <w:szCs w:val="16"/>
              </w:rPr>
            </w:pPr>
            <w:r>
              <w:rPr>
                <w:sz w:val="16"/>
                <w:szCs w:val="16"/>
              </w:rPr>
            </w:r>
          </w:p>
          <w:p>
            <w:pPr>
              <w:pStyle w:val="Normal"/>
              <w:widowControl w:val="false"/>
              <w:spacing w:lineRule="auto" w:line="240" w:before="0" w:after="0"/>
              <w:rPr>
                <w:rFonts w:ascii="Calibri" w:hAnsi="Calibri" w:eastAsia="Times New Roman" w:cs="Calibri"/>
                <w:sz w:val="16"/>
                <w:szCs w:val="16"/>
                <w:lang w:eastAsia="sk-SK"/>
              </w:rPr>
            </w:pPr>
            <w:r>
              <w:rPr>
                <w:sz w:val="16"/>
                <w:szCs w:val="16"/>
              </w:rPr>
              <w:t xml:space="preserve">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567"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sz w:val="16"/>
                <w:szCs w:val="16"/>
                <w:lang w:eastAsia="sk-SK"/>
              </w:rPr>
            </w:pPr>
            <w:r>
              <w:rPr>
                <w:rFonts w:eastAsia="Times New Roman" w:cs="Calibri"/>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6" w:type="dxa"/>
            <w:tcBorders>
              <w:bottom w:val="single" w:sz="8" w:space="0" w:color="000000"/>
              <w:right w:val="single" w:sz="8" w:space="0" w:color="000000"/>
            </w:tcBorders>
            <w:shd w:color="auto" w:fill="auto" w:val="clear"/>
          </w:tcPr>
          <w:p>
            <w:pPr>
              <w:pStyle w:val="Normal"/>
              <w:widowControl w:val="false"/>
              <w:rPr>
                <w:sz w:val="16"/>
                <w:szCs w:val="16"/>
              </w:rPr>
            </w:pPr>
            <w:r>
              <w:rPr>
                <w:sz w:val="16"/>
                <w:szCs w:val="16"/>
              </w:rPr>
            </w:r>
          </w:p>
          <w:p>
            <w:pPr>
              <w:pStyle w:val="Normal"/>
              <w:widowControl w:val="false"/>
              <w:spacing w:before="0" w:after="160"/>
              <w:jc w:val="both"/>
              <w:rPr>
                <w:sz w:val="16"/>
                <w:szCs w:val="16"/>
              </w:rPr>
            </w:pPr>
            <w:r>
              <w:rPr>
                <w:sz w:val="16"/>
                <w:szCs w:val="16"/>
              </w:rPr>
              <w:t xml:space="preserve">Chudoba, spoločenské súvislosti a sociálne politiky na jej odstránenie. HALUŠKOVÁ, E. - BOŽIK, J. 2015. Bratislava.  Vysoká škola zdravotníctva a sociálnej práce sv. Alžbety v Bratislave, 2015. 244 s. ISBN 978-80-8132-133-7. </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246" w:type="dxa"/>
            <w:tcBorders>
              <w:bottom w:val="single" w:sz="8" w:space="0" w:color="000000"/>
              <w:right w:val="single" w:sz="8" w:space="0" w:color="000000"/>
            </w:tcBorders>
            <w:shd w:color="auto" w:fill="auto" w:val="clear"/>
          </w:tcPr>
          <w:p>
            <w:pPr>
              <w:pStyle w:val="Poznmkapodiarou"/>
              <w:widowControl w:val="false"/>
              <w:rPr>
                <w:rFonts w:ascii="Calibri" w:hAnsi="Calibri" w:eastAsia="Times New Roman" w:cs="Calibri"/>
                <w:color w:val="000000"/>
                <w:sz w:val="16"/>
                <w:szCs w:val="16"/>
                <w:lang w:eastAsia="sk-SK"/>
              </w:rPr>
            </w:pPr>
            <w:r>
              <w:rPr>
                <w:rFonts w:eastAsia="Times New Roman" w:cs="Calibri"/>
                <w:color w:val="000000"/>
                <w:sz w:val="16"/>
                <w:szCs w:val="16"/>
                <w:lang w:eastAsia="sk-SK"/>
              </w:rPr>
              <w:t>AAB</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246"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Vklad autora /authors contribution . (8,2 AH)  (67,21% podiel)</w:t>
            </w:r>
          </w:p>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405" w:hRule="atLeast"/>
        </w:trPr>
        <w:tc>
          <w:tcPr>
            <w:tcW w:w="567"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81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The aim of this publication is to summarize the development of the phenomenon of poverty and to look at it through several cross-sectional problem dimensions. In it, we argue that poverty is primarily a social phenomenon and not a purely economic one, that the poor are excluded from full participation in life, that ultimately the state of poverty is a violation of human rights</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"The publication offers a new perspective on poverty and EU social policy aimed at solving it. It predicts poverty not only in the EU but also in the world by 2020. It is provocative, it introduces the reader to the reality of understanding the development of Slovakia in the context of the European community."</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377"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The aim of this publication is to summarize the development of the phenomenon of poverty and to look at it through several cross-sectional problem dimensions. In it, we argue that poverty is primarily a social phenomenon and not a purely economic one, that the poor are excluded from full participation in life, that ultimately the state of poverty is a violation of human rights</w:t>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r>
          </w:p>
          <w:p>
            <w:pPr>
              <w:pStyle w:val="Normal"/>
              <w:widowControl w:val="false"/>
              <w:spacing w:lineRule="auto" w:line="240" w:before="0" w:after="0"/>
              <w:jc w:val="both"/>
              <w:rPr>
                <w:rFonts w:ascii="Calibri" w:hAnsi="Calibri" w:eastAsia="Times New Roman" w:cs="Calibri"/>
                <w:color w:val="000000"/>
                <w:sz w:val="16"/>
                <w:szCs w:val="16"/>
                <w:lang w:eastAsia="sk-SK"/>
              </w:rPr>
            </w:pPr>
            <w:r>
              <w:rPr>
                <w:rFonts w:eastAsia="Times New Roman" w:cs="Calibri"/>
                <w:color w:val="000000"/>
                <w:sz w:val="16"/>
                <w:szCs w:val="16"/>
                <w:lang w:eastAsia="sk-SK"/>
              </w:rPr>
              <w:t>"The publication offers a new perspective on poverty and EU social policy aimed at solving it. It predicts poverty not only in the EU but also in the world by 2020. It is provocative, it introduces the reader to the reality of understanding the development of Slovakia in the context of the European community."</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160"/>
              <w:jc w:val="both"/>
              <w:rPr>
                <w:rFonts w:ascii="Trebuchet MS" w:hAnsi="Trebuchet MS" w:cs="Trebuchet MS"/>
                <w:color w:val="212529"/>
                <w:sz w:val="16"/>
                <w:szCs w:val="16"/>
                <w:shd w:fill="FFFFFF" w:val="clear"/>
                <w:lang w:eastAsia="sk-SK"/>
              </w:rPr>
            </w:pPr>
            <w:r>
              <w:rPr>
                <w:rFonts w:cs="Trebuchet MS" w:ascii="Trebuchet MS" w:hAnsi="Trebuchet MS"/>
                <w:color w:val="212529"/>
                <w:sz w:val="16"/>
                <w:szCs w:val="16"/>
                <w:shd w:fill="FFFFFF" w:val="clear"/>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jc w:val="both"/>
              <w:rPr>
                <w:rFonts w:eastAsia="Times New Roman" w:cs="Calibri" w:cstheme="minorHAnsi"/>
                <w:color w:val="000000"/>
                <w:sz w:val="16"/>
                <w:szCs w:val="16"/>
                <w:lang w:eastAsia="sk-SK"/>
              </w:rPr>
            </w:pPr>
            <w:r>
              <w:rPr>
                <w:rFonts w:eastAsia="Times New Roman" w:cs="Calibri"/>
                <w:sz w:val="16"/>
                <w:szCs w:val="16"/>
                <w:lang w:eastAsia="sk-SK"/>
              </w:rPr>
              <w:t>Význam pre štátnu správu, samosprávu, zariadenia sociálnych služieb, úrady práce sociálnych vecí a rodiny, sociálne poisťovne, zamestnávateľov, absolventov a aj pre pracoviska praxe.</w:t>
            </w:r>
            <w:r>
              <w:rPr>
                <w:rFonts w:eastAsia="Times New Roman" w:cs="Calibri" w:cstheme="minorHAnsi"/>
                <w:color w:val="000000"/>
                <w:sz w:val="16"/>
                <w:szCs w:val="16"/>
                <w:lang w:eastAsia="sk-SK"/>
              </w:rPr>
              <w:t>/Importance for state administration, self-government, social services facilities, offices of labour, social affairs and family, social insurance companies, employers, graduates and also for workplaces of practice.</w:t>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5377"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246"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Príspevok poukazuje na sociálnu udalosť, ako objektívnu skutočnosť, s ktorou právo spája ako dôsledok vznik, zmeny alebo skončenie sociálnozabezpečovacích vzťahov. Ide o vyjadrenie právne krytej životnej situácie a jej príčinnej súvislosti so sociálnymi dôsledkami. Systém sociálneho zabezpečenia Slovenskej republiky je charakteristický tým, že štruktúra výdavkov na sociálnu ochranu sa viaže na oblasť staroby (38 % celkových výdavkov), choroby a zdravotnej starostlivosti (30 %), invaliditu (8 %), rodinu s deťmi (8 %), nezamestnanosť (3,3 %), sociálne vylúčenie (3,5 %) atď. Študentom sociálnej práce ponúka pochopenie úvodu do sociálnej politiky, uplatňujú sa v ňom princípy aplikovanej sociálnej politiky. Využíva poznatky z predmetov Politika zamestnanosti, Metódy aplikovanej  sociálnej práce, Sociálna práca s nezamestnanými, Sociálne služby./The paper points to a social event as an objective fact with which the law associates as a result of the establishment, change or termination of social security relations. It is an expression of a legally covered life situation and its causal connection with social consequences. The social security system of the Slovak Republic is characterized by the fact that the structure of social protection expenditure is linked to old age (38% of total expenditure), sickness and health care (30%), disability (8%), families with children (8%), unemployment (3.3%), social exclusion (3.5%), etc. It offers social work students an understanding of the introduction to social policy, applying the principles of applied social policy. It uses knowledge from the subjects Employment Policy, Methods of Applied Social Work, Social Work with the Unemployed, Social Services</w:t>
            </w:r>
          </w:p>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159"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bookmarkStart w:id="1" w:name="_Hlk110257706"/>
            <w:bookmarkStart w:id="2" w:name="_Hlk110257706"/>
            <w:bookmarkEnd w:id="2"/>
          </w:p>
        </w:tc>
      </w:tr>
    </w:tbl>
    <w:p>
      <w:pPr>
        <w:pStyle w:val="Normal"/>
        <w:rPr/>
      </w:pPr>
      <w:r>
        <w:rPr/>
      </w:r>
    </w:p>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imSun">
    <w:charset w:val="ee"/>
    <w:family w:val="roman"/>
    <w:pitch w:val="variable"/>
  </w:font>
  <w:font w:name="Liberation Sans">
    <w:altName w:val="Arial"/>
    <w:charset w:val="ee"/>
    <w:family w:val="swiss"/>
    <w:pitch w:val="variable"/>
  </w:font>
  <w:font w:name="Times New Roman">
    <w:charset w:val="ee"/>
    <w:family w:val="roman"/>
    <w:pitch w:val="variable"/>
  </w:font>
  <w:font w:name="Trebuchet MS">
    <w:charset w:val="ee"/>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 w:asciiTheme="minorHAnsi" w:cstheme="minorBidi" w:hAnsiTheme="minorHAnsi"/>
        <w:sz w:val="22"/>
        <w:szCs w:val="22"/>
        <w:lang w:val="sk-SK"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619c9"/>
    <w:pPr>
      <w:widowControl/>
      <w:bidi w:val="0"/>
      <w:spacing w:lineRule="auto" w:line="259" w:before="0" w:after="160"/>
      <w:jc w:val="left"/>
    </w:pPr>
    <w:rPr>
      <w:rFonts w:ascii="Calibri" w:hAnsi="Calibri" w:eastAsia="SimSun" w:cs="" w:asciiTheme="minorHAnsi" w:cstheme="minorBidi" w:hAnsiTheme="minorHAnsi"/>
      <w:color w:val="auto"/>
      <w:kern w:val="0"/>
      <w:sz w:val="22"/>
      <w:szCs w:val="22"/>
      <w:lang w:val="sk-SK" w:eastAsia="en-US" w:bidi="ar-SA"/>
    </w:rPr>
  </w:style>
  <w:style w:type="character" w:styleId="DefaultParagraphFont" w:default="1">
    <w:name w:val="Default Paragraph Font"/>
    <w:uiPriority w:val="1"/>
    <w:semiHidden/>
    <w:unhideWhenUsed/>
    <w:qFormat/>
    <w:rPr/>
  </w:style>
  <w:style w:type="character" w:styleId="TextpoznmkypodiarouChar" w:customStyle="1">
    <w:name w:val="Text poznámky pod čiarou Char"/>
    <w:basedOn w:val="DefaultParagraphFont"/>
    <w:link w:val="Textpoznmkypodiarou"/>
    <w:uiPriority w:val="99"/>
    <w:qFormat/>
    <w:rsid w:val="005619c9"/>
    <w:rPr>
      <w:sz w:val="20"/>
      <w:szCs w:val="20"/>
    </w:rPr>
  </w:style>
  <w:style w:type="character" w:styleId="PredformtovanHTMLChar" w:customStyle="1">
    <w:name w:val="Predformátované HTML Char"/>
    <w:basedOn w:val="DefaultParagraphFont"/>
    <w:link w:val="PredformtovanHTML"/>
    <w:uiPriority w:val="99"/>
    <w:semiHidden/>
    <w:qFormat/>
    <w:rsid w:val="005619c9"/>
    <w:rPr>
      <w:rFonts w:ascii="SimSun" w:hAnsi="SimSun" w:eastAsia="SimSun" w:cs="Times New Roman"/>
      <w:sz w:val="24"/>
      <w:szCs w:val="24"/>
      <w:lang w:val="en-US" w:eastAsia="zh-CN"/>
    </w:rPr>
  </w:style>
  <w:style w:type="character" w:styleId="Internetovodkaz">
    <w:name w:val="Internetový odkaz"/>
    <w:basedOn w:val="DefaultParagraphFont"/>
    <w:uiPriority w:val="99"/>
    <w:unhideWhenUsed/>
    <w:rsid w:val="005619c9"/>
    <w:rPr>
      <w:color w:val="0000FF"/>
      <w:u w:val="single"/>
    </w:rPr>
  </w:style>
  <w:style w:type="character" w:styleId="Nevyrieenzmienka1" w:customStyle="1">
    <w:name w:val="Nevyriešená zmienka1"/>
    <w:basedOn w:val="DefaultParagraphFont"/>
    <w:uiPriority w:val="99"/>
    <w:semiHidden/>
    <w:unhideWhenUsed/>
    <w:qFormat/>
    <w:rsid w:val="00877fda"/>
    <w:rPr>
      <w:color w:val="605E5C"/>
      <w:shd w:fill="E1DFDD" w:val="clear"/>
    </w:rPr>
  </w:style>
  <w:style w:type="character" w:styleId="UnresolvedMention">
    <w:name w:val="Unresolved Mention"/>
    <w:basedOn w:val="DefaultParagraphFont"/>
    <w:uiPriority w:val="99"/>
    <w:semiHidden/>
    <w:unhideWhenUsed/>
    <w:qFormat/>
    <w:rsid w:val="00bf5fb6"/>
    <w:rPr>
      <w:color w:val="605E5C"/>
      <w:shd w:fill="E1DFDD" w:val="clear"/>
    </w:rPr>
  </w:style>
  <w:style w:type="character" w:styleId="Navtveninternetovodkaz">
    <w:name w:val="Navštívený internetový odkaz"/>
    <w:rPr>
      <w:color w:val="800000"/>
      <w:u w:val="single"/>
      <w:lang w:val="zxx" w:eastAsia="zxx" w:bidi="zxx"/>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TextpoznmkypodiarouChar"/>
    <w:uiPriority w:val="99"/>
    <w:unhideWhenUsed/>
    <w:rsid w:val="005619c9"/>
    <w:pPr>
      <w:spacing w:lineRule="auto" w:line="240" w:before="0" w:after="0"/>
    </w:pPr>
    <w:rPr>
      <w:sz w:val="20"/>
      <w:szCs w:val="20"/>
    </w:rPr>
  </w:style>
  <w:style w:type="paragraph" w:styleId="HTMLPreformatted">
    <w:name w:val="HTML Preformatted"/>
    <w:link w:val="PredformtovanHTMLChar"/>
    <w:uiPriority w:val="99"/>
    <w:semiHidden/>
    <w:unhideWhenUsed/>
    <w:qFormat/>
    <w:rsid w:val="005619c9"/>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cs="Times New Roman" w:eastAsia="SimSun"/>
      <w:color w:val="auto"/>
      <w:kern w:val="0"/>
      <w:sz w:val="24"/>
      <w:szCs w:val="24"/>
      <w:lang w:val="en-US" w:eastAsia="zh-CN" w:bidi="ar-SA"/>
    </w:rPr>
  </w:style>
  <w:style w:type="paragraph" w:styleId="Normlny1" w:customStyle="1">
    <w:name w:val="Normálny1"/>
    <w:qFormat/>
    <w:rsid w:val="005619c9"/>
    <w:pPr>
      <w:widowControl/>
      <w:bidi w:val="0"/>
      <w:spacing w:lineRule="auto" w:line="240" w:before="0" w:after="0"/>
      <w:jc w:val="left"/>
    </w:pPr>
    <w:rPr>
      <w:rFonts w:ascii="Liberation Serif" w:hAnsi="Liberation Serif" w:eastAsia="Liberation Serif" w:cs="Liberation Serif"/>
      <w:color w:val="auto"/>
      <w:kern w:val="0"/>
      <w:sz w:val="24"/>
      <w:szCs w:val="24"/>
      <w:lang w:eastAsia="sk-SK" w:val="sk-SK" w:bidi="ar-SA"/>
    </w:rPr>
  </w:style>
  <w:style w:type="paragraph" w:styleId="ListParagraph">
    <w:name w:val="List Paragraph"/>
    <w:basedOn w:val="Normal"/>
    <w:uiPriority w:val="34"/>
    <w:qFormat/>
    <w:rsid w:val="000f0efd"/>
    <w:pPr>
      <w:spacing w:before="0" w:after="160"/>
      <w:ind w:left="720" w:hanging="0"/>
      <w:contextualSpacing/>
    </w:pPr>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martinus.sk/758751-chudoba-spolocenske-suvislosti-a-socialne-politiky-na-jej/kniha"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LibreOffice/7.0.4.2$Windows_X86_64 LibreOffice_project/dcf040e67528d9187c66b2379df5ea4407429775</Application>
  <AppVersion>15.0000</AppVersion>
  <Pages>2</Pages>
  <Words>1239</Words>
  <Characters>7072</Characters>
  <CharactersWithSpaces>8291</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2024-02-12T09:30:00Z</dcterms:created>
  <dc:creator>Libusa Radkova</dc:creator>
  <dc:description/>
  <dc:language>sk-SK</dc:language>
  <cp:lastModifiedBy/>
  <dcterms:modified xsi:type="dcterms:W3CDTF">2024-02-12T22:31:29Z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